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F1391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64414315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F1391" w:rsidRPr="005209E0" w14:paraId="138F07C6" w14:textId="77777777" w:rsidTr="00F26C08">
        <w:tc>
          <w:tcPr>
            <w:tcW w:w="4631" w:type="dxa"/>
            <w:shd w:val="clear" w:color="auto" w:fill="auto"/>
          </w:tcPr>
          <w:p w14:paraId="1D93B4D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77777777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391" w:rsidRPr="005209E0" w14:paraId="29EB8B0F" w14:textId="77777777" w:rsidTr="00F26C08">
        <w:tc>
          <w:tcPr>
            <w:tcW w:w="4631" w:type="dxa"/>
            <w:shd w:val="clear" w:color="auto" w:fill="auto"/>
          </w:tcPr>
          <w:p w14:paraId="6993DD10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6894A785" w14:textId="4C428DF3" w:rsidR="00DF1391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F1391" w:rsidRPr="005209E0" w14:paraId="240AF82B" w14:textId="77777777" w:rsidTr="00F26C08">
        <w:tc>
          <w:tcPr>
            <w:tcW w:w="4631" w:type="dxa"/>
            <w:shd w:val="clear" w:color="auto" w:fill="auto"/>
          </w:tcPr>
          <w:p w14:paraId="104EC911" w14:textId="77777777" w:rsidR="00DF1391" w:rsidRPr="005209E0" w:rsidRDefault="00DF1391" w:rsidP="00DF13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9845057" w14:textId="4EE20DAF" w:rsidR="00DF1391" w:rsidRPr="005209E0" w:rsidRDefault="00DF1391" w:rsidP="00DF1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545C" w:rsidRPr="005209E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4629F7FD" w14:textId="1384A6DE" w:rsidR="0043100D" w:rsidRPr="00AE3977" w:rsidRDefault="0043100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</w:t>
      </w:r>
      <w:r w:rsidR="00E65874">
        <w:rPr>
          <w:rFonts w:ascii="Times New Roman" w:hAnsi="Times New Roman" w:cs="Times New Roman"/>
          <w:bCs/>
          <w:sz w:val="28"/>
          <w:szCs w:val="28"/>
        </w:rPr>
        <w:t xml:space="preserve">выбору 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 xml:space="preserve">подрядной организации для выполнения </w:t>
      </w:r>
      <w:r w:rsidR="003C545C">
        <w:rPr>
          <w:rFonts w:ascii="Times New Roman" w:hAnsi="Times New Roman" w:cs="Times New Roman"/>
          <w:bCs/>
          <w:sz w:val="28"/>
          <w:szCs w:val="28"/>
        </w:rPr>
        <w:t xml:space="preserve">комплекса работ 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>по</w:t>
      </w:r>
      <w:r w:rsidR="003C545C">
        <w:rPr>
          <w:rFonts w:ascii="Times New Roman" w:hAnsi="Times New Roman" w:cs="Times New Roman"/>
          <w:bCs/>
          <w:sz w:val="28"/>
          <w:szCs w:val="28"/>
        </w:rPr>
        <w:t xml:space="preserve"> монтажу и наладке системы пожарной сигнализации (СПС) и систем противодымной вентиляции (ПДЗ1, ПДЗ2)</w:t>
      </w:r>
      <w:r w:rsidR="00E65874" w:rsidRPr="00E65874">
        <w:rPr>
          <w:rFonts w:ascii="Times New Roman" w:hAnsi="Times New Roman" w:cs="Times New Roman"/>
          <w:bCs/>
          <w:sz w:val="28"/>
          <w:szCs w:val="28"/>
        </w:rPr>
        <w:t xml:space="preserve"> устройству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452424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77777777" w:rsidR="00756011" w:rsidRPr="00B00143" w:rsidRDefault="00756011" w:rsidP="00756011">
      <w:pPr>
        <w:pStyle w:val="af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7F593438" w:rsidR="00756011" w:rsidRPr="00435F9E" w:rsidRDefault="00435F9E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13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Жилой дом №1.13 по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г.п</w:t>
      </w:r>
      <w:bookmarkEnd w:id="0"/>
      <w:proofErr w:type="spellEnd"/>
      <w:r w:rsidR="00756011"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1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43100D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43100D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43100D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Pr="00446CD7" w:rsidRDefault="00446CD7" w:rsidP="00446CD7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5BCF493" w14:textId="5EC4BCB4" w:rsidR="00D14565" w:rsidRDefault="00E30422" w:rsidP="003C54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выбору</w:t>
      </w:r>
      <w:r w:rsidR="00D145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4565" w:rsidRPr="003C545C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</w:t>
      </w:r>
      <w:r w:rsidR="003C545C" w:rsidRPr="003C545C">
        <w:rPr>
          <w:rFonts w:ascii="Times New Roman" w:hAnsi="Times New Roman" w:cs="Times New Roman"/>
          <w:bCs/>
          <w:sz w:val="24"/>
          <w:szCs w:val="24"/>
        </w:rPr>
        <w:t>для выполнения комплекса работ по монтажу и наладке системы пожарной сигнализации (СПС) и систем противодымной вентиляции (ПДЗ1, ПДЗ2</w:t>
      </w:r>
      <w:r w:rsidR="003C545C" w:rsidRPr="003C545C">
        <w:rPr>
          <w:rFonts w:ascii="Times New Roman" w:hAnsi="Times New Roman" w:cs="Times New Roman"/>
          <w:bCs/>
          <w:sz w:val="24"/>
          <w:szCs w:val="24"/>
        </w:rPr>
        <w:t>)</w:t>
      </w:r>
      <w:r w:rsidR="003C545C" w:rsidRPr="00E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545C" w:rsidRPr="003C545C">
        <w:rPr>
          <w:rFonts w:ascii="Times New Roman" w:hAnsi="Times New Roman" w:cs="Times New Roman"/>
          <w:bCs/>
          <w:sz w:val="24"/>
          <w:szCs w:val="24"/>
        </w:rPr>
        <w:t>при</w:t>
      </w:r>
      <w:r w:rsidR="00D14565" w:rsidRPr="003C545C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объекта:</w:t>
      </w:r>
      <w:r w:rsidR="00D1456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5F9E" w:rsidRPr="00055C24">
        <w:rPr>
          <w:rFonts w:ascii="Times New Roman" w:hAnsi="Times New Roman" w:cs="Times New Roman"/>
          <w:b/>
          <w:sz w:val="24"/>
          <w:szCs w:val="24"/>
        </w:rPr>
        <w:t>«</w:t>
      </w:r>
      <w:r w:rsidR="00435F9E" w:rsidRPr="00435F9E">
        <w:rPr>
          <w:rFonts w:ascii="Times New Roman" w:hAnsi="Times New Roman" w:cs="Times New Roman"/>
          <w:b/>
          <w:sz w:val="24"/>
          <w:szCs w:val="24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="00435F9E" w:rsidRPr="00435F9E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435F9E" w:rsidRPr="00435F9E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 1. 13 очередь строительства. Жилой дом №1.13 по </w:t>
      </w:r>
      <w:proofErr w:type="spellStart"/>
      <w:r w:rsidR="00435F9E" w:rsidRPr="00435F9E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435F9E" w:rsidRPr="00435F9E">
        <w:rPr>
          <w:rFonts w:ascii="Times New Roman" w:hAnsi="Times New Roman" w:cs="Times New Roman"/>
          <w:b/>
          <w:sz w:val="24"/>
          <w:szCs w:val="24"/>
        </w:rPr>
        <w:t>.»</w:t>
      </w:r>
      <w:r w:rsidR="00D14565">
        <w:rPr>
          <w:rFonts w:ascii="Times New Roman" w:hAnsi="Times New Roman" w:cs="Times New Roman"/>
          <w:sz w:val="24"/>
          <w:szCs w:val="24"/>
        </w:rPr>
        <w:tab/>
      </w:r>
    </w:p>
    <w:p w14:paraId="3C881D22" w14:textId="77777777" w:rsidR="003C545C" w:rsidRPr="00055C24" w:rsidRDefault="003C545C" w:rsidP="003C545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3501E" w14:textId="5AB38C9B" w:rsidR="00D14565" w:rsidRPr="003C545C" w:rsidRDefault="00D14565" w:rsidP="00D1456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5C24" w:rsidRPr="003C545C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</w:p>
    <w:p w14:paraId="2366A929" w14:textId="5BE5C2B3" w:rsidR="00D14565" w:rsidRDefault="00D14565" w:rsidP="00D14565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4565">
        <w:rPr>
          <w:rFonts w:ascii="Times New Roman" w:hAnsi="Times New Roman" w:cs="Times New Roman"/>
          <w:sz w:val="24"/>
          <w:szCs w:val="24"/>
        </w:rPr>
        <w:t>Многоквартирный 4-секционный жилой дом переменной этажности 7-7-9-14 этажей, с техподпольем, прямоугольной конфи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D14565">
        <w:rPr>
          <w:rFonts w:ascii="Times New Roman" w:hAnsi="Times New Roman" w:cs="Times New Roman"/>
          <w:sz w:val="24"/>
          <w:szCs w:val="24"/>
        </w:rPr>
        <w:t>урацией в плане.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65">
        <w:rPr>
          <w:rFonts w:ascii="Times New Roman" w:hAnsi="Times New Roman" w:cs="Times New Roman"/>
          <w:sz w:val="24"/>
          <w:szCs w:val="24"/>
        </w:rPr>
        <w:t>Конструктивная схема четырехсекционного жилого дома – рамно-связевый монолитный железобетонный каркас.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565">
        <w:rPr>
          <w:rFonts w:ascii="Times New Roman" w:hAnsi="Times New Roman" w:cs="Times New Roman"/>
          <w:sz w:val="24"/>
          <w:szCs w:val="24"/>
        </w:rPr>
        <w:t>Наружные стены выполнены из блоков керамзитобетонных полнотелых с выполнением утепления. Внутренние перегородки и стены из блоков керамзитобетонных. Кровля плоская совмещенная.</w:t>
      </w:r>
    </w:p>
    <w:p w14:paraId="122C6B38" w14:textId="7620F6B6" w:rsidR="00625017" w:rsidRDefault="00D14565" w:rsidP="00D145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4565">
        <w:rPr>
          <w:rFonts w:ascii="Times New Roman" w:hAnsi="Times New Roman" w:cs="Times New Roman"/>
          <w:sz w:val="24"/>
          <w:szCs w:val="24"/>
        </w:rPr>
        <w:t>Класс сложности здания – К2.</w:t>
      </w:r>
    </w:p>
    <w:p w14:paraId="3957221E" w14:textId="77777777" w:rsidR="003C545C" w:rsidRDefault="003C545C" w:rsidP="00D1456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D10E751" w14:textId="668938DB" w:rsidR="0043100D" w:rsidRPr="003C545C" w:rsidRDefault="0043100D" w:rsidP="00D1456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45C">
        <w:rPr>
          <w:rFonts w:ascii="Times New Roman" w:hAnsi="Times New Roman" w:cs="Times New Roman"/>
          <w:b/>
          <w:bCs/>
          <w:sz w:val="24"/>
          <w:szCs w:val="24"/>
        </w:rPr>
        <w:t xml:space="preserve">Состав и объем работ, являющихся предметом заказа: </w:t>
      </w:r>
    </w:p>
    <w:p w14:paraId="00EA251C" w14:textId="77777777" w:rsidR="0084234E" w:rsidRPr="0084234E" w:rsidRDefault="0084234E" w:rsidP="0084234E">
      <w:pPr>
        <w:jc w:val="both"/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Полный комплекс работ по монтажу и наладке системы пожарной сигнализации (СПС) и систем противодымной вентиляции (ПДЗ1, ПДЗ2).</w:t>
      </w:r>
    </w:p>
    <w:p w14:paraId="319E5DB1" w14:textId="752F6A49" w:rsidR="0084234E" w:rsidRDefault="0084234E" w:rsidP="0084234E">
      <w:pPr>
        <w:jc w:val="both"/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Точный перечень см. Приложение №5 – Техническое задание.</w:t>
      </w:r>
    </w:p>
    <w:p w14:paraId="168D1C46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Так же в обязательства подрядной организации входит:</w:t>
      </w:r>
      <w:r w:rsidRPr="0084234E">
        <w:rPr>
          <w:rFonts w:ascii="Times New Roman" w:hAnsi="Times New Roman"/>
          <w:sz w:val="24"/>
          <w:szCs w:val="24"/>
        </w:rPr>
        <w:br/>
        <w:t>- оформление документации и сдача систем МЧС;</w:t>
      </w:r>
    </w:p>
    <w:p w14:paraId="3E82563D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- составление и согласование ППР и ТК;</w:t>
      </w:r>
      <w:r w:rsidRPr="0084234E">
        <w:rPr>
          <w:rFonts w:ascii="Times New Roman" w:hAnsi="Times New Roman"/>
          <w:sz w:val="24"/>
          <w:szCs w:val="24"/>
        </w:rPr>
        <w:br/>
        <w:t>- сопутствующие работы (сверление/пробивка отверстий для прокладки сетей СПС, ПДЗ с заделкой проходок).</w:t>
      </w:r>
    </w:p>
    <w:p w14:paraId="29332D77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порядком, сохранностью и т.п.);</w:t>
      </w:r>
    </w:p>
    <w:p w14:paraId="2B63F6C3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 (в т.ч. подъем к месту монтажа);</w:t>
      </w:r>
    </w:p>
    <w:p w14:paraId="34FE6A16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1F38A044" w14:textId="77777777" w:rsidR="0084234E" w:rsidRP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370D5BF2" w14:textId="0C5BCD29" w:rsidR="0084234E" w:rsidRDefault="0084234E" w:rsidP="0084234E">
      <w:pPr>
        <w:rPr>
          <w:rFonts w:ascii="Times New Roman" w:hAnsi="Times New Roman"/>
          <w:sz w:val="24"/>
          <w:szCs w:val="24"/>
        </w:rPr>
      </w:pPr>
      <w:r w:rsidRPr="0084234E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5A1ADF70" w:rsidR="00D823EA" w:rsidRPr="005209E0" w:rsidRDefault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289818D4" w:rsidR="007A28F2" w:rsidRPr="004F3184" w:rsidRDefault="007A28F2" w:rsidP="003C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84234E">
        <w:rPr>
          <w:rFonts w:ascii="Times New Roman" w:hAnsi="Times New Roman" w:cs="Times New Roman"/>
          <w:sz w:val="24"/>
          <w:szCs w:val="24"/>
        </w:rPr>
        <w:t>декабрь</w:t>
      </w:r>
      <w:r w:rsidR="00C239E8">
        <w:rPr>
          <w:rFonts w:ascii="Times New Roman" w:hAnsi="Times New Roman" w:cs="Times New Roman"/>
          <w:sz w:val="24"/>
          <w:szCs w:val="24"/>
        </w:rPr>
        <w:t xml:space="preserve"> </w:t>
      </w:r>
      <w:r w:rsidRPr="004F3184">
        <w:rPr>
          <w:rFonts w:ascii="Times New Roman" w:hAnsi="Times New Roman" w:cs="Times New Roman"/>
          <w:sz w:val="24"/>
          <w:szCs w:val="24"/>
        </w:rPr>
        <w:t>202</w:t>
      </w:r>
      <w:r w:rsidR="00D97C20">
        <w:rPr>
          <w:rFonts w:ascii="Times New Roman" w:hAnsi="Times New Roman" w:cs="Times New Roman"/>
          <w:sz w:val="24"/>
          <w:szCs w:val="24"/>
        </w:rPr>
        <w:t>5</w:t>
      </w:r>
      <w:r w:rsidRPr="004F3184">
        <w:rPr>
          <w:rFonts w:ascii="Times New Roman" w:hAnsi="Times New Roman" w:cs="Times New Roman"/>
          <w:sz w:val="24"/>
          <w:szCs w:val="24"/>
        </w:rPr>
        <w:t>г.</w:t>
      </w:r>
    </w:p>
    <w:p w14:paraId="4855D389" w14:textId="0FEB2D48" w:rsidR="007A28F2" w:rsidRPr="007A28F2" w:rsidRDefault="007A28F2" w:rsidP="003C5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3184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 w:rsidRPr="004F3184">
        <w:rPr>
          <w:rFonts w:ascii="Times New Roman" w:hAnsi="Times New Roman" w:cs="Times New Roman"/>
          <w:sz w:val="24"/>
          <w:szCs w:val="24"/>
        </w:rPr>
        <w:t>–</w:t>
      </w:r>
      <w:r w:rsidRPr="004F3184">
        <w:rPr>
          <w:rFonts w:ascii="Times New Roman" w:hAnsi="Times New Roman" w:cs="Times New Roman"/>
          <w:sz w:val="24"/>
          <w:szCs w:val="24"/>
        </w:rPr>
        <w:t xml:space="preserve"> </w:t>
      </w:r>
      <w:r w:rsidR="0084234E">
        <w:rPr>
          <w:rFonts w:ascii="Times New Roman" w:hAnsi="Times New Roman" w:cs="Times New Roman"/>
          <w:sz w:val="24"/>
          <w:szCs w:val="24"/>
        </w:rPr>
        <w:t>март</w:t>
      </w:r>
      <w:r w:rsidR="00121683">
        <w:rPr>
          <w:rFonts w:ascii="Times New Roman" w:hAnsi="Times New Roman" w:cs="Times New Roman"/>
          <w:sz w:val="24"/>
          <w:szCs w:val="24"/>
        </w:rPr>
        <w:t xml:space="preserve"> </w:t>
      </w:r>
      <w:r w:rsidR="00640192" w:rsidRPr="004F3184">
        <w:rPr>
          <w:rFonts w:ascii="Times New Roman" w:hAnsi="Times New Roman" w:cs="Times New Roman"/>
          <w:sz w:val="24"/>
          <w:szCs w:val="24"/>
        </w:rPr>
        <w:t>202</w:t>
      </w:r>
      <w:r w:rsidR="0084234E">
        <w:rPr>
          <w:rFonts w:ascii="Times New Roman" w:hAnsi="Times New Roman" w:cs="Times New Roman"/>
          <w:sz w:val="24"/>
          <w:szCs w:val="24"/>
        </w:rPr>
        <w:t>6</w:t>
      </w:r>
      <w:r w:rsidR="00640192" w:rsidRPr="004F3184">
        <w:rPr>
          <w:rFonts w:ascii="Times New Roman" w:hAnsi="Times New Roman" w:cs="Times New Roman"/>
          <w:sz w:val="24"/>
          <w:szCs w:val="24"/>
        </w:rPr>
        <w:t>г.</w:t>
      </w:r>
      <w:r w:rsidR="00640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6AAF6" w14:textId="5E4B4CAE" w:rsidR="006021EC" w:rsidRDefault="00D823EA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00E3F2E2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43E982D8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704D81E4" w14:textId="77777777" w:rsidR="006021EC" w:rsidRPr="00B43D46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87D02EF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1EE67573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A348277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1B7DBFDD" w14:textId="77777777" w:rsidR="006021EC" w:rsidRPr="005209E0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42363057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3E95625" w14:textId="77777777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088E60C6" w14:textId="23DA465A" w:rsidR="006021EC" w:rsidRDefault="006021EC" w:rsidP="006021E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7C9C06B" w14:textId="77777777" w:rsidR="00F70641" w:rsidRDefault="00F70641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5E67FF09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6B31">
        <w:rPr>
          <w:rFonts w:ascii="Times New Roman" w:hAnsi="Times New Roman"/>
          <w:b/>
          <w:bCs/>
          <w:sz w:val="24"/>
          <w:szCs w:val="24"/>
        </w:rPr>
        <w:t>2</w:t>
      </w:r>
      <w:r w:rsidR="0084234E">
        <w:rPr>
          <w:rFonts w:ascii="Times New Roman" w:hAnsi="Times New Roman"/>
          <w:b/>
          <w:bCs/>
          <w:sz w:val="24"/>
          <w:szCs w:val="24"/>
        </w:rPr>
        <w:t>8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234E">
        <w:rPr>
          <w:rFonts w:ascii="Times New Roman" w:hAnsi="Times New Roman"/>
          <w:b/>
          <w:bCs/>
          <w:sz w:val="24"/>
          <w:szCs w:val="24"/>
        </w:rPr>
        <w:t>11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97C20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4A50C816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D97C20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84234E">
        <w:rPr>
          <w:rFonts w:ascii="Times New Roman" w:hAnsi="Times New Roman"/>
          <w:b/>
          <w:bCs/>
          <w:sz w:val="24"/>
          <w:szCs w:val="24"/>
        </w:rPr>
        <w:t>10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234E">
        <w:rPr>
          <w:rFonts w:ascii="Times New Roman" w:hAnsi="Times New Roman"/>
          <w:b/>
          <w:bCs/>
          <w:sz w:val="24"/>
          <w:szCs w:val="24"/>
        </w:rPr>
        <w:t>12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D97C20">
        <w:rPr>
          <w:rFonts w:ascii="Times New Roman" w:hAnsi="Times New Roman"/>
          <w:b/>
          <w:bCs/>
          <w:sz w:val="24"/>
          <w:szCs w:val="24"/>
        </w:rPr>
        <w:t>25</w:t>
      </w:r>
      <w:r w:rsidR="00D97C20"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</w:t>
      </w:r>
      <w:r w:rsidRPr="005209E0">
        <w:rPr>
          <w:rFonts w:ascii="Times New Roman" w:hAnsi="Times New Roman"/>
          <w:sz w:val="24"/>
          <w:szCs w:val="24"/>
        </w:rPr>
        <w:lastRenderedPageBreak/>
        <w:t>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lastRenderedPageBreak/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1818D840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84234E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proofErr w:type="gramStart"/>
      <w:r w:rsidRPr="005209E0">
        <w:rPr>
          <w:rFonts w:ascii="Times New Roman" w:hAnsi="Times New Roman"/>
          <w:sz w:val="24"/>
          <w:szCs w:val="24"/>
        </w:rPr>
        <w:t>Банк»  (</w:t>
      </w:r>
      <w:proofErr w:type="gramEnd"/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1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1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1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8A53C" w14:textId="77777777" w:rsidR="009C1390" w:rsidRDefault="009C1390" w:rsidP="00D65FD3">
      <w:pPr>
        <w:spacing w:after="0" w:line="240" w:lineRule="auto"/>
      </w:pPr>
      <w:r>
        <w:separator/>
      </w:r>
    </w:p>
  </w:endnote>
  <w:endnote w:type="continuationSeparator" w:id="0">
    <w:p w14:paraId="381F3390" w14:textId="77777777" w:rsidR="009C1390" w:rsidRDefault="009C13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4"/>
          <w:jc w:val="right"/>
        </w:pPr>
      </w:p>
      <w:p w14:paraId="6172D420" w14:textId="442E9720" w:rsidR="00D65FD3" w:rsidRDefault="00D65FD3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E8">
          <w:rPr>
            <w:noProof/>
          </w:rPr>
          <w:t>3</w:t>
        </w:r>
        <w:r>
          <w:fldChar w:fldCharType="end"/>
        </w:r>
      </w:p>
    </w:sdtContent>
  </w:sdt>
  <w:p w14:paraId="74E17F34" w14:textId="77777777" w:rsidR="00D65FD3" w:rsidRDefault="00D65FD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CF985" w14:textId="77777777" w:rsidR="009C1390" w:rsidRDefault="009C1390" w:rsidP="00D65FD3">
      <w:pPr>
        <w:spacing w:after="0" w:line="240" w:lineRule="auto"/>
      </w:pPr>
      <w:r>
        <w:separator/>
      </w:r>
    </w:p>
  </w:footnote>
  <w:footnote w:type="continuationSeparator" w:id="0">
    <w:p w14:paraId="1836D2D0" w14:textId="77777777" w:rsidR="009C1390" w:rsidRDefault="009C13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0230C"/>
    <w:multiLevelType w:val="hybridMultilevel"/>
    <w:tmpl w:val="8F8A3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3"/>
  </w:num>
  <w:num w:numId="7">
    <w:abstractNumId w:val="10"/>
  </w:num>
  <w:num w:numId="8">
    <w:abstractNumId w:val="17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6"/>
  </w:num>
  <w:num w:numId="14">
    <w:abstractNumId w:val="20"/>
  </w:num>
  <w:num w:numId="15">
    <w:abstractNumId w:val="5"/>
  </w:num>
  <w:num w:numId="16">
    <w:abstractNumId w:val="6"/>
  </w:num>
  <w:num w:numId="17">
    <w:abstractNumId w:val="11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8"/>
  </w:num>
  <w:num w:numId="21">
    <w:abstractNumId w:val="14"/>
  </w:num>
  <w:num w:numId="22">
    <w:abstractNumId w:val="22"/>
  </w:num>
  <w:num w:numId="23">
    <w:abstractNumId w:val="3"/>
  </w:num>
  <w:num w:numId="2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2A1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6A8C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1683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E6B31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951A9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C"/>
    <w:rsid w:val="003C545F"/>
    <w:rsid w:val="003C7A5B"/>
    <w:rsid w:val="003C7AFA"/>
    <w:rsid w:val="003D13EE"/>
    <w:rsid w:val="003D1CEF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1C5"/>
    <w:rsid w:val="0041727A"/>
    <w:rsid w:val="004204BC"/>
    <w:rsid w:val="00426758"/>
    <w:rsid w:val="00427E32"/>
    <w:rsid w:val="0043015E"/>
    <w:rsid w:val="0043100D"/>
    <w:rsid w:val="00432230"/>
    <w:rsid w:val="004323CA"/>
    <w:rsid w:val="00435F9E"/>
    <w:rsid w:val="004377B5"/>
    <w:rsid w:val="00440F18"/>
    <w:rsid w:val="0044381D"/>
    <w:rsid w:val="00446CD7"/>
    <w:rsid w:val="00447316"/>
    <w:rsid w:val="004473BA"/>
    <w:rsid w:val="004520E3"/>
    <w:rsid w:val="00452424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123F"/>
    <w:rsid w:val="004A2A58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184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21EC"/>
    <w:rsid w:val="00607254"/>
    <w:rsid w:val="00616BD8"/>
    <w:rsid w:val="00616C3C"/>
    <w:rsid w:val="00617F88"/>
    <w:rsid w:val="0062434A"/>
    <w:rsid w:val="00624BDF"/>
    <w:rsid w:val="00625017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234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C139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2F1"/>
    <w:rsid w:val="00A45B0C"/>
    <w:rsid w:val="00A4636C"/>
    <w:rsid w:val="00A508EE"/>
    <w:rsid w:val="00A5397B"/>
    <w:rsid w:val="00A6189B"/>
    <w:rsid w:val="00A62268"/>
    <w:rsid w:val="00A66374"/>
    <w:rsid w:val="00A70D8C"/>
    <w:rsid w:val="00A719B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AB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39E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4565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97C20"/>
    <w:rsid w:val="00DA2925"/>
    <w:rsid w:val="00DB1E31"/>
    <w:rsid w:val="00DB4ABF"/>
    <w:rsid w:val="00DB6978"/>
    <w:rsid w:val="00DB7A70"/>
    <w:rsid w:val="00DC4A00"/>
    <w:rsid w:val="00DC4A74"/>
    <w:rsid w:val="00DC701A"/>
    <w:rsid w:val="00DD090A"/>
    <w:rsid w:val="00DD1D32"/>
    <w:rsid w:val="00DD212C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65874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641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customStyle="1" w:styleId="10">
    <w:name w:val="Неразрешенное упоминание1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30192E"/>
    <w:pPr>
      <w:spacing w:after="0" w:line="240" w:lineRule="auto"/>
    </w:pPr>
  </w:style>
  <w:style w:type="paragraph" w:styleId="af1">
    <w:name w:val="No Spacing"/>
    <w:uiPriority w:val="1"/>
    <w:qFormat/>
    <w:rsid w:val="000D58DB"/>
    <w:pPr>
      <w:spacing w:after="0" w:line="240" w:lineRule="auto"/>
    </w:pPr>
  </w:style>
  <w:style w:type="paragraph" w:styleId="af2">
    <w:name w:val="header"/>
    <w:basedOn w:val="a0"/>
    <w:link w:val="af3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D65FD3"/>
  </w:style>
  <w:style w:type="paragraph" w:styleId="af4">
    <w:name w:val="footer"/>
    <w:basedOn w:val="a0"/>
    <w:link w:val="af5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0"/>
    <w:link w:val="af7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8">
    <w:name w:val="Document Map"/>
    <w:basedOn w:val="a0"/>
    <w:link w:val="af9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9">
    <w:name w:val="Схема документа Знак"/>
    <w:basedOn w:val="a1"/>
    <w:link w:val="af8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1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a">
    <w:basedOn w:val="a0"/>
    <w:next w:val="afb"/>
    <w:link w:val="afc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c">
    <w:name w:val="Название Знак"/>
    <w:link w:val="afa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age number"/>
    <w:rsid w:val="00140041"/>
  </w:style>
  <w:style w:type="paragraph" w:styleId="a">
    <w:name w:val="List Bullet"/>
    <w:basedOn w:val="a0"/>
    <w:link w:val="afe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e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2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">
    <w:name w:val="Plain Text"/>
    <w:basedOn w:val="a0"/>
    <w:link w:val="aff0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1">
    <w:name w:val="footnote text"/>
    <w:basedOn w:val="a0"/>
    <w:link w:val="aff2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2">
    <w:name w:val="Текст сноски Знак"/>
    <w:basedOn w:val="a1"/>
    <w:link w:val="aff1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0"/>
    <w:next w:val="a0"/>
    <w:link w:val="aff4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1"/>
    <w:link w:val="aff3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b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5">
    <w:basedOn w:val="a0"/>
    <w:next w:val="afb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0A9A1-A74F-41B9-AD43-A26D315BF8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1139D-05C0-458D-AFBD-BDEE6449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11</Pages>
  <Words>3403</Words>
  <Characters>19401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38</cp:revision>
  <cp:lastPrinted>2019-10-28T14:29:00Z</cp:lastPrinted>
  <dcterms:created xsi:type="dcterms:W3CDTF">2022-09-01T12:41:00Z</dcterms:created>
  <dcterms:modified xsi:type="dcterms:W3CDTF">2025-11-24T12:55:00Z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